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Fonts w:ascii="Times New Roman" w:hAnsi="Times New Roman"/>
          <w:kern w:val="1"/>
          <w:sz w:val="24"/>
          <w:szCs w:val="24"/>
          <w:u w:color="000000"/>
          <w:rtl w:val="0"/>
          <w:lang w:val="en-US"/>
        </w:rPr>
        <w:t xml:space="preserve">                                    </w:t>
      </w:r>
      <w:r>
        <w:rPr>
          <w:rFonts w:ascii="Arial" w:hAnsi="Arial"/>
          <w:caps w:val="0"/>
          <w:smallCaps w:val="0"/>
          <w:outline w:val="0"/>
          <w:color w:val="000000"/>
          <w:spacing w:val="0"/>
          <w:kern w:val="1"/>
          <w:sz w:val="24"/>
          <w:szCs w:val="24"/>
          <w:u w:color="000000"/>
          <w:rtl w:val="0"/>
          <w:lang w:val="en-US"/>
          <w14:textFill>
            <w14:solidFill>
              <w14:srgbClr w14:val="000000"/>
            </w14:solidFill>
          </w14:textFill>
        </w:rPr>
        <w:t>Fort Ord Community Advisory Group</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14:textFill>
            <w14:solidFill>
              <w14:srgbClr w14:val="000000"/>
            </w14:solidFill>
          </w14:textFill>
        </w:rPr>
      </w:pPr>
      <w:r>
        <w:rPr>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w:t>
      </w:r>
      <w:r>
        <w:rPr>
          <w:rStyle w:val="Hyperlink.0"/>
          <w:rFonts w:ascii="Times New Roman" w:cs="Times New Roman" w:hAnsi="Times New Roman" w:eastAsia="Times New Roman"/>
          <w:caps w:val="0"/>
          <w:smallCaps w:val="0"/>
          <w:strike w:val="0"/>
          <w:dstrike w:val="0"/>
          <w:outline w:val="0"/>
          <w:color w:val="0066cc"/>
          <w:spacing w:val="0"/>
          <w:kern w:val="1"/>
          <w:sz w:val="24"/>
          <w:szCs w:val="24"/>
          <w:u w:val="none" w:color="0066cc"/>
          <w:rtl w:val="0"/>
          <w14:textFill>
            <w14:solidFill>
              <w14:srgbClr w14:val="0066CC"/>
            </w14:solidFill>
          </w14:textFill>
        </w:rPr>
        <w:fldChar w:fldCharType="begin" w:fldLock="0"/>
      </w:r>
      <w:r>
        <w:rPr>
          <w:rStyle w:val="Hyperlink.0"/>
          <w:rFonts w:ascii="Times New Roman" w:cs="Times New Roman" w:hAnsi="Times New Roman" w:eastAsia="Times New Roman"/>
          <w:caps w:val="0"/>
          <w:smallCaps w:val="0"/>
          <w:strike w:val="0"/>
          <w:dstrike w:val="0"/>
          <w:outline w:val="0"/>
          <w:color w:val="0066cc"/>
          <w:spacing w:val="0"/>
          <w:kern w:val="1"/>
          <w:sz w:val="24"/>
          <w:szCs w:val="24"/>
          <w:u w:val="none" w:color="0066cc"/>
          <w:rtl w:val="0"/>
          <w14:textFill>
            <w14:solidFill>
              <w14:srgbClr w14:val="0066CC"/>
            </w14:solidFill>
          </w14:textFill>
        </w:rPr>
        <w:instrText xml:space="preserve"> HYPERLINK "http://webmailb.netzero.net/webmail/new/8?folder=Inbox&amp;msgNum=0008IuW0:001c3gUD00000t%5Ef&amp;block=1&amp;msgNature=all&amp;msgStatus=all&amp;count=1745804369&amp;randid=2042946581&amp;content=central"</w:instrText>
      </w:r>
      <w:r>
        <w:rPr>
          <w:rStyle w:val="Hyperlink.0"/>
          <w:rFonts w:ascii="Times New Roman" w:cs="Times New Roman" w:hAnsi="Times New Roman" w:eastAsia="Times New Roman"/>
          <w:caps w:val="0"/>
          <w:smallCaps w:val="0"/>
          <w:strike w:val="0"/>
          <w:dstrike w:val="0"/>
          <w:outline w:val="0"/>
          <w:color w:val="0066cc"/>
          <w:spacing w:val="0"/>
          <w:kern w:val="1"/>
          <w:sz w:val="24"/>
          <w:szCs w:val="24"/>
          <w:u w:val="none" w:color="0066cc"/>
          <w:rtl w:val="0"/>
          <w14:textFill>
            <w14:solidFill>
              <w14:srgbClr w14:val="0066CC"/>
            </w14:solidFill>
          </w14:textFill>
        </w:rPr>
        <w:fldChar w:fldCharType="separate" w:fldLock="0"/>
      </w:r>
      <w:r>
        <w:rPr>
          <w:rStyle w:val="Hyperlink.0"/>
          <w:rFonts w:ascii="Times New Roman" w:hAnsi="Times New Roman"/>
          <w:caps w:val="0"/>
          <w:smallCaps w:val="0"/>
          <w:strike w:val="0"/>
          <w:dstrike w:val="0"/>
          <w:outline w:val="0"/>
          <w:color w:val="0066cc"/>
          <w:spacing w:val="0"/>
          <w:kern w:val="1"/>
          <w:sz w:val="24"/>
          <w:szCs w:val="24"/>
          <w:u w:val="none" w:color="0066cc"/>
          <w:rtl w:val="0"/>
          <w14:textFill>
            <w14:solidFill>
              <w14:srgbClr w14:val="0066CC"/>
            </w14:solidFill>
          </w14:textFill>
        </w:rPr>
        <w:t>Email: focagemail@yahoo.com</w:t>
      </w:r>
      <w:r>
        <w:rPr>
          <w:rFonts w:ascii="Times New Roman" w:cs="Times New Roman" w:hAnsi="Times New Roman" w:eastAsia="Times New Roman"/>
          <w:kern w:val="1"/>
          <w:sz w:val="24"/>
          <w:szCs w:val="24"/>
          <w:u w:color="000000"/>
          <w:rtl w:val="0"/>
        </w:rPr>
        <w:fldChar w:fldCharType="end" w:fldLock="0"/>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Fort Ord Community Advisory Group (FOCAG) is a public interest group formed</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to review, comment, and advise on the remediation (cleanup) of the Fort Ord</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Army Base Superfund Site, to ensure that human health, safety, and the environment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are protected to the greatest extent possible."</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xml:space="preserve">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Mission Statement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Joelle Lobo</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BRAC Environmental Coordinator</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U.S. Army Fort Ord BRAC Field Office</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P.O. Box 5008</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Monterey, CA</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xml:space="preserve">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93944-5008</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Via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email:  </w:t>
      </w:r>
      <w:r>
        <w:rPr>
          <w:rStyle w:val="Hyperlink.1"/>
          <w:rFonts w:ascii="Times New Roman" w:cs="Times New Roman" w:hAnsi="Times New Roman" w:eastAsia="Times New Roman"/>
          <w:kern w:val="1"/>
          <w:sz w:val="24"/>
          <w:szCs w:val="24"/>
          <w:u w:color="000000"/>
          <w:rtl w:val="0"/>
          <w:lang w:val="en-US"/>
        </w:rPr>
        <w:fldChar w:fldCharType="begin" w:fldLock="0"/>
      </w:r>
      <w:r>
        <w:rPr>
          <w:rStyle w:val="Hyperlink.1"/>
          <w:rFonts w:ascii="Times New Roman" w:cs="Times New Roman" w:hAnsi="Times New Roman" w:eastAsia="Times New Roman"/>
          <w:kern w:val="1"/>
          <w:sz w:val="24"/>
          <w:szCs w:val="24"/>
          <w:u w:color="000000"/>
          <w:rtl w:val="0"/>
          <w:lang w:val="en-US"/>
        </w:rPr>
        <w:instrText xml:space="preserve"> HYPERLINK "mailto:joelle.l.lobo.civ@army.mil"</w:instrText>
      </w:r>
      <w:r>
        <w:rPr>
          <w:rStyle w:val="Hyperlink.1"/>
          <w:rFonts w:ascii="Times New Roman" w:cs="Times New Roman" w:hAnsi="Times New Roman" w:eastAsia="Times New Roman"/>
          <w:kern w:val="1"/>
          <w:sz w:val="24"/>
          <w:szCs w:val="24"/>
          <w:u w:color="000000"/>
          <w:rtl w:val="0"/>
          <w:lang w:val="en-US"/>
        </w:rPr>
        <w:fldChar w:fldCharType="separate" w:fldLock="0"/>
      </w:r>
      <w:r>
        <w:rPr>
          <w:rStyle w:val="Hyperlink.1"/>
          <w:rFonts w:ascii="Times New Roman" w:hAnsi="Times New Roman"/>
          <w:kern w:val="1"/>
          <w:sz w:val="24"/>
          <w:szCs w:val="24"/>
          <w:u w:color="000000"/>
          <w:rtl w:val="0"/>
          <w:lang w:val="en-US"/>
        </w:rPr>
        <w:t>joelle.l.lobo.civ@army.mil</w:t>
      </w:r>
      <w:r>
        <w:rPr>
          <w:rFonts w:ascii="Times New Roman" w:cs="Times New Roman" w:hAnsi="Times New Roman" w:eastAsia="Times New Roman"/>
          <w:kern w:val="1"/>
          <w:sz w:val="24"/>
          <w:szCs w:val="24"/>
          <w:u w:color="000000"/>
          <w:rtl w:val="0"/>
          <w:lang w:val="en-US"/>
        </w:rPr>
        <w:fldChar w:fldCharType="end" w:fldLock="0"/>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to be followed by a hard copy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being mailed  by U.S. Mail</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FOCAG comments regarding;</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Draft Quality Assurance Project Plan, Former Fort Ord, California, Volume 1, Appendix C,</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b w:val="1"/>
          <w:bCs w:val="1"/>
          <w:kern w:val="1"/>
          <w:sz w:val="24"/>
          <w:szCs w:val="24"/>
          <w:u w:color="000000"/>
          <w:rtl w:val="0"/>
          <w:lang w:val="en-US"/>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Soil Gas Monitoring at Sites 2 and 12, Addendum No. 2, </w:t>
      </w:r>
      <w:r>
        <w:rPr>
          <w:rStyle w:val="None"/>
          <w:rFonts w:ascii="Times New Roman" w:hAnsi="Times New Roman"/>
          <w:b w:val="1"/>
          <w:bCs w:val="1"/>
          <w:kern w:val="1"/>
          <w:sz w:val="24"/>
          <w:szCs w:val="24"/>
          <w:u w:color="000000"/>
          <w:rtl w:val="0"/>
          <w:lang w:val="en-US"/>
        </w:rPr>
        <w:t>Soil Gas Plume Rebound</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Characterization, Jetty Street Study Area (dated July 7, 2026)</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b w:val="1"/>
          <w:bCs w:val="1"/>
          <w:caps w:val="0"/>
          <w:smallCaps w:val="0"/>
          <w:outline w:val="0"/>
          <w:color w:val="000000"/>
          <w:spacing w:val="0"/>
          <w:kern w:val="1"/>
          <w:sz w:val="24"/>
          <w:szCs w:val="24"/>
          <w:u w:color="000000"/>
          <w:rtl w:val="0"/>
          <w:lang w:val="en-US"/>
          <w14:textFill>
            <w14:solidFill>
              <w14:srgbClr w14:val="000000"/>
            </w14:solidFill>
          </w14:textFill>
        </w:rPr>
        <w:t>For the Fort Ord Clean Up Administrative Record</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A</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ugust 6, 2026</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Dear Joelle Lobo,</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FOCAG has the following concerns, questions, recommendations, findings;</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To begin, the FOCAG recalls advising against the commercial/residential development in this area because of the soil gas and groundwater issues beneath the proposed construction.  Development proceeded anyway, based, we think, on official uncertainty as to the amounts of, source of the contamination of the underground water and the air above, and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positive thinking</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xml:space="preserve">”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as to ability to cure it soon.  The biggest issues were, and are, PCE (tetrachloroethene) and TCE (trichloroethane).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b w:val="1"/>
          <w:bCs w:val="1"/>
          <w:kern w:val="1"/>
          <w:sz w:val="24"/>
          <w:szCs w:val="24"/>
          <w:u w:color="000000"/>
          <w:rtl w:val="0"/>
          <w:lang w:val="en-US"/>
        </w:rPr>
        <w:t xml:space="preserve">The word </w:t>
      </w:r>
      <w:r>
        <w:rPr>
          <w:rFonts w:ascii="Times New Roman" w:hAnsi="Times New Roman" w:hint="default"/>
          <w:b w:val="1"/>
          <w:bCs w:val="1"/>
          <w:kern w:val="1"/>
          <w:sz w:val="24"/>
          <w:szCs w:val="24"/>
          <w:u w:color="000000"/>
          <w:rtl w:val="0"/>
          <w:lang w:val="en-US"/>
        </w:rPr>
        <w:t>“</w:t>
      </w:r>
      <w:r>
        <w:rPr>
          <w:rFonts w:ascii="Times New Roman" w:hAnsi="Times New Roman"/>
          <w:b w:val="1"/>
          <w:bCs w:val="1"/>
          <w:kern w:val="1"/>
          <w:sz w:val="24"/>
          <w:szCs w:val="24"/>
          <w:u w:color="000000"/>
          <w:rtl w:val="0"/>
          <w:lang w:val="en-US"/>
        </w:rPr>
        <w:t>rebound</w:t>
      </w:r>
      <w:r>
        <w:rPr>
          <w:rFonts w:ascii="Times New Roman" w:hAnsi="Times New Roman" w:hint="default"/>
          <w:b w:val="1"/>
          <w:bCs w:val="1"/>
          <w:kern w:val="1"/>
          <w:sz w:val="24"/>
          <w:szCs w:val="24"/>
          <w:u w:color="000000"/>
          <w:rtl w:val="0"/>
          <w:lang w:val="en-US"/>
        </w:rPr>
        <w:t>”</w:t>
      </w:r>
      <w:r>
        <w:rPr>
          <w:rFonts w:ascii="Times New Roman" w:hAnsi="Times New Roman"/>
          <w:b w:val="1"/>
          <w:bCs w:val="1"/>
          <w:kern w:val="1"/>
          <w:sz w:val="24"/>
          <w:szCs w:val="24"/>
          <w:u w:color="000000"/>
          <w:rtl w:val="0"/>
          <w:lang w:val="en-US"/>
        </w:rPr>
        <w:t xml:space="preserve">in this document is an analytical term, it seems a document </w:t>
      </w:r>
      <w:r>
        <w:rPr>
          <w:rFonts w:ascii="Times New Roman" w:hAnsi="Times New Roman" w:hint="default"/>
          <w:b w:val="1"/>
          <w:bCs w:val="1"/>
          <w:kern w:val="1"/>
          <w:sz w:val="24"/>
          <w:szCs w:val="24"/>
          <w:u w:color="000000"/>
          <w:rtl w:val="0"/>
          <w:lang w:val="en-US"/>
        </w:rPr>
        <w:t>“</w:t>
      </w:r>
      <w:r>
        <w:rPr>
          <w:rFonts w:ascii="Times New Roman" w:hAnsi="Times New Roman"/>
          <w:b w:val="1"/>
          <w:bCs w:val="1"/>
          <w:kern w:val="1"/>
          <w:sz w:val="24"/>
          <w:szCs w:val="24"/>
          <w:u w:color="000000"/>
          <w:rtl w:val="0"/>
          <w:lang w:val="en-US"/>
        </w:rPr>
        <w:t>surprise</w:t>
      </w:r>
      <w:r>
        <w:rPr>
          <w:rFonts w:ascii="Times New Roman" w:hAnsi="Times New Roman" w:hint="default"/>
          <w:b w:val="1"/>
          <w:bCs w:val="1"/>
          <w:kern w:val="1"/>
          <w:sz w:val="24"/>
          <w:szCs w:val="24"/>
          <w:u w:color="000000"/>
          <w:rtl w:val="0"/>
          <w:lang w:val="en-US"/>
        </w:rPr>
        <w:t xml:space="preserve">” </w:t>
      </w:r>
      <w:r>
        <w:rPr>
          <w:rFonts w:ascii="Times New Roman" w:hAnsi="Times New Roman"/>
          <w:b w:val="1"/>
          <w:bCs w:val="1"/>
          <w:kern w:val="1"/>
          <w:sz w:val="24"/>
          <w:szCs w:val="24"/>
          <w:u w:color="000000"/>
          <w:rtl w:val="0"/>
          <w:lang w:val="en-US"/>
        </w:rPr>
        <w:t xml:space="preserve">that it is back, and bigger than anticipated, despite the </w:t>
      </w:r>
      <w:r>
        <w:rPr>
          <w:rFonts w:ascii="Times New Roman" w:hAnsi="Times New Roman" w:hint="default"/>
          <w:b w:val="1"/>
          <w:bCs w:val="1"/>
          <w:kern w:val="1"/>
          <w:sz w:val="24"/>
          <w:szCs w:val="24"/>
          <w:u w:color="000000"/>
          <w:rtl w:val="0"/>
          <w:lang w:val="en-US"/>
        </w:rPr>
        <w:t>“</w:t>
      </w:r>
      <w:r>
        <w:rPr>
          <w:rFonts w:ascii="Times New Roman" w:hAnsi="Times New Roman"/>
          <w:b w:val="1"/>
          <w:bCs w:val="1"/>
          <w:kern w:val="1"/>
          <w:sz w:val="24"/>
          <w:szCs w:val="24"/>
          <w:u w:color="000000"/>
          <w:rtl w:val="0"/>
          <w:lang w:val="en-US"/>
        </w:rPr>
        <w:t>remedial treatment</w:t>
      </w:r>
      <w:r>
        <w:rPr>
          <w:rFonts w:ascii="Times New Roman" w:hAnsi="Times New Roman" w:hint="default"/>
          <w:b w:val="1"/>
          <w:bCs w:val="1"/>
          <w:kern w:val="1"/>
          <w:sz w:val="24"/>
          <w:szCs w:val="24"/>
          <w:u w:color="000000"/>
          <w:rtl w:val="0"/>
          <w:lang w:val="en-US"/>
        </w:rPr>
        <w:t>”</w:t>
      </w:r>
      <w:r>
        <w:rPr>
          <w:rFonts w:ascii="Times New Roman" w:hAnsi="Times New Roman"/>
          <w:b w:val="1"/>
          <w:bCs w:val="1"/>
          <w:kern w:val="1"/>
          <w:sz w:val="24"/>
          <w:szCs w:val="24"/>
          <w:u w:color="000000"/>
          <w:rtl w:val="0"/>
          <w:lang w:val="en-US"/>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Thus the FOCAG recommends changing the language to include the above, in section 5.1,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Step 1: State the Problem</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The Jetty Street Area, is depicted with an overhead photo, called Figure: 1. It is the only photo in this document. It shows the reader an overhead photo of the roadway intersection of General Stilwell Dr. and Jetty St. now in the City of Marina.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 Page 2</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Page 8 advises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Consistent with structures typical to the area, the building foundations are slab on grade, and the mixed-use development </w:t>
      </w:r>
      <w:r>
        <w:rPr>
          <w:rStyle w:val="None"/>
          <w:rFonts w:ascii="Times New Roman" w:hAnsi="Times New Roman"/>
          <w:b w:val="1"/>
          <w:bCs w:val="1"/>
          <w:kern w:val="1"/>
          <w:sz w:val="24"/>
          <w:szCs w:val="24"/>
          <w:u w:color="000000"/>
          <w:rtl w:val="0"/>
          <w:lang w:val="en-US"/>
        </w:rPr>
        <w:t>includes a vapor barrier below the foundation</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This is the first, that we recall reading of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vapor barriers</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We think it was required here as a Condition of Project Approval, as the justification of building atop this known hazardous chemical waste area.</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b w:val="1"/>
          <w:bCs w:val="1"/>
          <w:kern w:val="1"/>
          <w:sz w:val="24"/>
          <w:szCs w:val="24"/>
          <w:u w:color="000000"/>
          <w:rtl w:val="0"/>
          <w:lang w:val="en-US"/>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Also on page 8, there is the statement,</w:t>
      </w:r>
      <w:r>
        <w:rPr>
          <w:rStyle w:val="None"/>
          <w:rFonts w:ascii="Times New Roman" w:hAnsi="Times New Roman" w:hint="default"/>
          <w:b w:val="1"/>
          <w:bCs w:val="1"/>
          <w:kern w:val="1"/>
          <w:sz w:val="24"/>
          <w:szCs w:val="24"/>
          <w:u w:color="000000"/>
          <w:rtl w:val="0"/>
          <w:lang w:val="en-US"/>
        </w:rPr>
        <w:t xml:space="preserve">” </w:t>
      </w:r>
      <w:r>
        <w:rPr>
          <w:rStyle w:val="None"/>
          <w:rFonts w:ascii="Times New Roman" w:hAnsi="Times New Roman"/>
          <w:b w:val="1"/>
          <w:bCs w:val="1"/>
          <w:kern w:val="1"/>
          <w:sz w:val="24"/>
          <w:szCs w:val="24"/>
          <w:u w:color="000000"/>
          <w:rtl w:val="0"/>
          <w:lang w:val="en-US"/>
        </w:rPr>
        <w:t>Potential receptors are building occupants that may include patrons and employees of the commercial operations and residents in the mixed-use area.</w:t>
      </w:r>
      <w:r>
        <w:rPr>
          <w:rStyle w:val="None"/>
          <w:rFonts w:ascii="Times New Roman" w:hAnsi="Times New Roman" w:hint="default"/>
          <w:b w:val="1"/>
          <w:bCs w:val="1"/>
          <w:kern w:val="1"/>
          <w:sz w:val="24"/>
          <w:szCs w:val="24"/>
          <w:u w:color="000000"/>
          <w:rtl w:val="0"/>
          <w:lang w:val="en-US"/>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FOCAG asks that the Draft Final to this document include how and when tenants are, or will be,  informed this. When did notification begin? Who was notified? Were businesses and residents both notified? How? Where are the records? The FOCAG requests them.</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California Proposition 65 states:</w:t>
      </w:r>
    </w:p>
    <w:p>
      <w:pPr>
        <w:pStyle w:val="Default"/>
        <w:bidi w:val="0"/>
        <w:spacing w:before="0" w:line="240" w:lineRule="auto"/>
        <w:ind w:left="0" w:right="0" w:firstLine="0"/>
        <w:jc w:val="left"/>
        <w:rPr>
          <w:rStyle w:val="None"/>
          <w:rFonts w:ascii="Times New Roman" w:cs="Times New Roman" w:hAnsi="Times New Roman" w:eastAsia="Times New Roman"/>
          <w:caps w:val="0"/>
          <w:smallCaps w:val="0"/>
          <w:outline w:val="0"/>
          <w:color w:val="000000"/>
          <w:spacing w:val="0"/>
          <w:sz w:val="32"/>
          <w:szCs w:val="32"/>
          <w:u w:color="000000"/>
          <w:shd w:val="clear" w:color="auto" w:fill="ffff00"/>
          <w:rtl w:val="0"/>
          <w14:textFill>
            <w14:solidFill>
              <w14:srgbClr w14:val="000000"/>
            </w14:solidFill>
          </w14:textFill>
        </w:rPr>
      </w:pPr>
      <w:r>
        <w:rPr>
          <w:rStyle w:val="None"/>
          <w:rFonts w:ascii="Helvetica Neue" w:hAnsi="Helvetica Neue"/>
          <w:sz w:val="32"/>
          <w:szCs w:val="32"/>
          <w:shd w:val="clear" w:color="auto" w:fill="ffffff"/>
          <w:rtl w:val="0"/>
          <w:lang w:val="en-US"/>
        </w:rPr>
        <w:t xml:space="preserve">California Proposition 65, passed in 1986 as the Safe Drinking Water and Toxic Enforcement Act, </w:t>
      </w:r>
      <w:r>
        <w:rPr>
          <w:rFonts w:ascii="Helvetica Neue Medium" w:hAnsi="Helvetica Neue Medium"/>
          <w:sz w:val="32"/>
          <w:szCs w:val="32"/>
          <w:shd w:val="clear" w:color="auto" w:fill="ffff00"/>
          <w:rtl w:val="0"/>
          <w:lang w:val="en-US"/>
        </w:rPr>
        <w:t>requires businesses to provide clear warnings before exposing people to chemicals known to cause cancer or birth defects</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The FOCAG understands and supports further data collection in the Jetty Street area and beyond.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Section 5.2 states,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general goal of the study is to provide additional data to evaluate rebound conditions and to support decisions</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The FOCAG makes a finding that the words evaluate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rebound</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xml:space="preserve">”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conditions, seems to be being used to explain perhaps previous decisions regarding building atop this location. Perhaps there was limited  testing at the time of all the development?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Page 10 informs us that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study boundaries will expand vertically to include the sub-slab environment (0-12 inches beneath the foundation) and the indoor breathing zone (typically 3-5 feet above the floor).</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FOCAG asks how and when will the local residents, as well as the mixed-use residents be notified of the situation? Who do they reach out to with questions and concerns? Is it BRAC? Or does it include the Marina City Government?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Apparently it is the Jetty Street area and residential/commercial buildings east of General Stilwell Drive and south of Jetty Street that could be affected.</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On page page 14 of this document;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Property owners will be notified of fieldwork activities at least three days before the start of work.</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FOCAG asks what about tenants living and/or working in, or near, these buildings?</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Should not they be identified and notified?  How will they be notified? The property owners may well be out of State.</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Page 3</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Permitting</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  The Dept. of the Army and Ahtna Global LLC: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Permits for soil gas probe installation will be obtained from the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Monterey County Department of Health</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Please know that it is the Monterey County Environmental Health Bureau. And we believe it will be up to them as to any permit fees or not. They will be the ones having to review your drilling/boring operations. The area is in Monterey County.</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The Traffic Control Plan section on page 14 tells us again that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Jetty Street area is developed and includes parking lots and roadways with moderate to high public/and or property uses traffic.</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Yes, the FOCAG thinks this may be another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OOPS</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xml:space="preserve">”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project on former Fort Ord., that is, measuring and evaluating environmental data.</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Page 15 informs the reader up to three borings will be completed by a California licensed contractor. Page 16 informs the reader that seven permanent soil gas probes will be installed in each of the proposed soil borings.</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FOCAG asks for further explanation on the permanence of these gas probes.</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Page 16, bottom, 6.1.3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Sub-Slab Soil gas, IndoorAir, and Ambient Air Sampling.</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FOCAG asks that the criteria in Worksheet 11 be included in the published Draft Final and Final to this document.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Can the FOCAG and public please get copies of the specific language on notifications to be sent out to Property owners. Again, the FOCAG asks that tenants also be notified as property owners may live out of the area or even out-of-State.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Page 17; Is a three day notice the standard for notification to property owners for any fieldwork?</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People may be out of town longer or on vacation. Again, we request that occupants be notified also.</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Do you have the physical addresses of the subject buildings? Can you please publish the physical addresses?</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Page 18, regarding Investigation-Derived Waste, that is referred to as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IDW</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xml:space="preserve">”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in this document.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 It states IDW will be disposed of at the Fort Ord Landfills. This is the former Fort Ord landfill area that is not lined beneath the refuse, but instead has a rubber/vinyl covering over the top.</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The FOCAG has referred to this as a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shower cap</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How may this refuse be prevented from leaching down into the soil, along with other toxic waste, beneath, and perhaps creating another soil gas plume?</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Page 20, footnote #1, the FOCAG asks where can we find the source document for;</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The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no action</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xml:space="preserve">”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and </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additional probe cluster installation</w:t>
      </w:r>
      <w:r>
        <w:rPr>
          <w:rStyle w:val="None"/>
          <w:rFonts w:ascii="Times New Roman" w:hAnsi="Times New Roman" w:hint="default"/>
          <w:caps w:val="0"/>
          <w:smallCaps w:val="0"/>
          <w:outline w:val="0"/>
          <w:color w:val="000000"/>
          <w:spacing w:val="0"/>
          <w:kern w:val="1"/>
          <w:sz w:val="24"/>
          <w:szCs w:val="24"/>
          <w:u w:color="000000"/>
          <w:rtl w:val="0"/>
          <w:lang w:val="en-US"/>
          <w14:textFill>
            <w14:solidFill>
              <w14:srgbClr w14:val="000000"/>
            </w14:solidFill>
          </w14:textFill>
        </w:rPr>
        <w:t xml:space="preserve">” </w:t>
      </w: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concentration levels for TCE and PCE (that) were calculated from the USEPA VISL cancer endpoint (ELCR=1E-6) for the indicated land-use scenario (sub-slab attenuation factor = 0.033).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Page 4</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Page 22 identifies the existing locations of the six soil gas probes installed at Site #12 Jetty Street Study Area. Up to three additional soil gas clusters may be installed.</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b w:val="1"/>
          <w:bCs w:val="1"/>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b w:val="1"/>
          <w:bCs w:val="1"/>
          <w:caps w:val="0"/>
          <w:smallCaps w:val="0"/>
          <w:outline w:val="0"/>
          <w:color w:val="000000"/>
          <w:spacing w:val="0"/>
          <w:kern w:val="1"/>
          <w:sz w:val="24"/>
          <w:szCs w:val="24"/>
          <w:u w:color="000000"/>
          <w:rtl w:val="0"/>
          <w:lang w:val="en-US"/>
          <w14:textFill>
            <w14:solidFill>
              <w14:srgbClr w14:val="000000"/>
            </w14:solidFill>
          </w14:textFill>
        </w:rPr>
      </w:pPr>
      <w:r>
        <w:rPr>
          <w:rFonts w:ascii="Times New Roman" w:hAnsi="Times New Roman"/>
          <w:b w:val="1"/>
          <w:bCs w:val="1"/>
          <w:kern w:val="1"/>
          <w:sz w:val="24"/>
          <w:szCs w:val="24"/>
          <w:u w:color="000000"/>
          <w:rtl w:val="0"/>
          <w:lang w:val="en-US"/>
        </w:rPr>
        <w:t xml:space="preserve">Page 23 informs the reader that, </w:t>
      </w:r>
      <w:r>
        <w:rPr>
          <w:rFonts w:ascii="Times New Roman" w:hAnsi="Times New Roman" w:hint="default"/>
          <w:b w:val="1"/>
          <w:bCs w:val="1"/>
          <w:kern w:val="1"/>
          <w:sz w:val="24"/>
          <w:szCs w:val="24"/>
          <w:u w:color="000000"/>
          <w:rtl w:val="0"/>
          <w:lang w:val="en-US"/>
        </w:rPr>
        <w:t>“</w:t>
      </w:r>
      <w:r>
        <w:rPr>
          <w:rFonts w:ascii="Times New Roman" w:hAnsi="Times New Roman"/>
          <w:b w:val="1"/>
          <w:bCs w:val="1"/>
          <w:kern w:val="1"/>
          <w:sz w:val="24"/>
          <w:szCs w:val="24"/>
          <w:u w:color="000000"/>
          <w:rtl w:val="0"/>
          <w:lang w:val="en-US"/>
        </w:rPr>
        <w:t>If required, paired sub-slab soil gas and indoor air samples will be collected from commercial and/or residential structures</w:t>
      </w:r>
      <w:r>
        <w:rPr>
          <w:rFonts w:ascii="Times New Roman" w:hAnsi="Times New Roman" w:hint="default"/>
          <w:b w:val="1"/>
          <w:bCs w:val="1"/>
          <w:kern w:val="1"/>
          <w:sz w:val="24"/>
          <w:szCs w:val="24"/>
          <w:u w:color="000000"/>
          <w:rtl w:val="0"/>
          <w:lang w:val="en-US"/>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Page 23, Section 8.3 Sub-Slab Soil Gas Indoor Air, and Ambient Air</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continues;</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Fonts w:ascii="Times New Roman" w:cs="Times New Roman" w:hAnsi="Times New Roman" w:eastAsia="Times New Roman"/>
          <w:b w:val="1"/>
          <w:bCs w:val="1"/>
          <w:kern w:val="1"/>
          <w:sz w:val="24"/>
          <w:szCs w:val="24"/>
          <w:u w:color="000000"/>
          <w:rtl w:val="0"/>
          <w:lang w:val="en-US"/>
        </w:rPr>
      </w:pPr>
      <w:r>
        <w:rPr>
          <w:rFonts w:ascii="Times New Roman" w:hAnsi="Times New Roman" w:hint="default"/>
          <w:b w:val="1"/>
          <w:bCs w:val="1"/>
          <w:kern w:val="1"/>
          <w:sz w:val="24"/>
          <w:szCs w:val="24"/>
          <w:u w:color="000000"/>
          <w:rtl w:val="0"/>
          <w:lang w:val="en-US"/>
        </w:rPr>
        <w:t>“</w:t>
      </w:r>
      <w:r>
        <w:rPr>
          <w:rFonts w:ascii="Times New Roman" w:hAnsi="Times New Roman"/>
          <w:b w:val="1"/>
          <w:bCs w:val="1"/>
          <w:kern w:val="1"/>
          <w:sz w:val="24"/>
          <w:szCs w:val="24"/>
          <w:u w:color="000000"/>
          <w:rtl w:val="0"/>
          <w:lang w:val="en-US"/>
        </w:rPr>
        <w:t>Prior to sampling, a building survey will be conducted. During the survey, potential indoor vapor sources will be identified.  To the extent possible, indoor sources will be removed 24 to 72 hours prior to sampling. Any nearby outdoor sources will also be documented.</w:t>
      </w:r>
      <w:r>
        <w:rPr>
          <w:rFonts w:ascii="Times New Roman" w:hAnsi="Times New Roman" w:hint="default"/>
          <w:b w:val="1"/>
          <w:bCs w:val="1"/>
          <w:kern w:val="1"/>
          <w:sz w:val="24"/>
          <w:szCs w:val="24"/>
          <w:u w:color="000000"/>
          <w:rtl w:val="0"/>
          <w:lang w:val="en-US"/>
        </w:rPr>
        <w:t>”</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The FOCAG asks for clarification of these pages 23 and 24 regarding sampling.</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Thank you. The FOCAG looks forward to a more substantive Draft Final.</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Mike Weaver</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Co-Chair, FOCAG</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r>
        <w:rPr>
          <w:rStyle w:val="None"/>
          <w:rFonts w:ascii="Times New Roman" w:hAnsi="Times New Roman"/>
          <w:caps w:val="0"/>
          <w:smallCaps w:val="0"/>
          <w:outline w:val="0"/>
          <w:color w:val="000000"/>
          <w:spacing w:val="0"/>
          <w:kern w:val="1"/>
          <w:sz w:val="24"/>
          <w:szCs w:val="24"/>
          <w:u w:color="000000"/>
          <w:rtl w:val="0"/>
          <w:lang w:val="en-US"/>
          <w14:textFill>
            <w14:solidFill>
              <w14:srgbClr w14:val="000000"/>
            </w14:solidFill>
          </w14:textFill>
        </w:rPr>
        <w:t xml:space="preserve"> </w:t>
      </w: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pPr>
    </w:p>
    <w:p>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bidi w:val="0"/>
        <w:ind w:left="0" w:right="0" w:firstLine="0"/>
        <w:jc w:val="left"/>
        <w:rPr>
          <w:rtl w:val="0"/>
        </w:rPr>
      </w:pPr>
      <w:r>
        <w:rPr>
          <w:rStyle w:val="None"/>
          <w:rFonts w:ascii="Times New Roman" w:cs="Times New Roman" w:hAnsi="Times New Roman" w:eastAsia="Times New Roman"/>
          <w:caps w:val="0"/>
          <w:smallCaps w:val="0"/>
          <w:outline w:val="0"/>
          <w:color w:val="000000"/>
          <w:spacing w:val="0"/>
          <w:kern w:val="1"/>
          <w:sz w:val="24"/>
          <w:szCs w:val="24"/>
          <w:u w:color="000000"/>
          <w:rtl w:val="0"/>
          <w:lang w:val="en-US"/>
          <w14:textFill>
            <w14:solidFill>
              <w14:srgbClr w14:val="000000"/>
            </w14:solidFill>
          </w14:textFill>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Neue Mediu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caps w:val="0"/>
      <w:smallCaps w:val="0"/>
      <w:strike w:val="0"/>
      <w:dstrike w:val="0"/>
      <w:outline w:val="0"/>
      <w:color w:val="0066cc"/>
      <w:spacing w:val="0"/>
      <w:u w:val="none" w:color="0066cc"/>
      <w14:textFill>
        <w14:solidFill>
          <w14:srgbClr w14:val="0066CC"/>
        </w14:solidFill>
      </w14:textFill>
    </w:rPr>
  </w:style>
  <w:style w:type="character" w:styleId="Hyperlink.1">
    <w:name w:val="Hyperlink.1"/>
    <w:basedOn w:val="Hyperlink"/>
    <w:next w:val="Hyperlink.1"/>
    <w:rPr>
      <w:u w:val="single"/>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